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928"/>
        <w:gridCol w:w="5103"/>
      </w:tblGrid>
      <w:tr w:rsidR="00495C3A" w:rsidRPr="00E20C3E" w:rsidTr="001F5B23">
        <w:trPr>
          <w:trHeight w:val="1985"/>
        </w:trPr>
        <w:tc>
          <w:tcPr>
            <w:tcW w:w="4928" w:type="dxa"/>
          </w:tcPr>
          <w:p w:rsidR="00495C3A" w:rsidRDefault="00495C3A" w:rsidP="001F5B23">
            <w:pPr>
              <w:widowControl w:val="0"/>
              <w:adjustRightInd w:val="0"/>
              <w:spacing w:after="160" w:line="240" w:lineRule="exact"/>
              <w:jc w:val="center"/>
              <w:rPr>
                <w:rStyle w:val="a3"/>
                <w:i w:val="0"/>
                <w:sz w:val="28"/>
                <w:szCs w:val="28"/>
              </w:rPr>
            </w:pPr>
          </w:p>
          <w:p w:rsidR="00495C3A" w:rsidRDefault="00495C3A" w:rsidP="001F5B23">
            <w:pPr>
              <w:widowControl w:val="0"/>
              <w:adjustRightInd w:val="0"/>
              <w:spacing w:after="160" w:line="240" w:lineRule="exact"/>
              <w:jc w:val="center"/>
              <w:rPr>
                <w:rStyle w:val="a3"/>
                <w:i w:val="0"/>
                <w:sz w:val="28"/>
                <w:szCs w:val="28"/>
              </w:rPr>
            </w:pPr>
          </w:p>
          <w:p w:rsidR="00495C3A" w:rsidRDefault="00495C3A" w:rsidP="001F5B23">
            <w:pPr>
              <w:widowControl w:val="0"/>
              <w:adjustRightInd w:val="0"/>
              <w:spacing w:after="160" w:line="240" w:lineRule="exact"/>
              <w:jc w:val="center"/>
              <w:rPr>
                <w:rStyle w:val="a3"/>
                <w:i w:val="0"/>
                <w:sz w:val="28"/>
                <w:szCs w:val="28"/>
              </w:rPr>
            </w:pPr>
          </w:p>
          <w:p w:rsidR="00495C3A" w:rsidRDefault="00495C3A" w:rsidP="001F5B23">
            <w:pPr>
              <w:widowControl w:val="0"/>
              <w:adjustRightInd w:val="0"/>
              <w:spacing w:after="160" w:line="240" w:lineRule="exact"/>
              <w:jc w:val="center"/>
              <w:rPr>
                <w:rStyle w:val="a3"/>
                <w:i w:val="0"/>
                <w:sz w:val="28"/>
                <w:szCs w:val="28"/>
              </w:rPr>
            </w:pPr>
          </w:p>
          <w:p w:rsidR="00495C3A" w:rsidRPr="00E20C3E" w:rsidRDefault="00495C3A" w:rsidP="001F5B23">
            <w:pPr>
              <w:widowControl w:val="0"/>
              <w:adjustRightInd w:val="0"/>
              <w:spacing w:after="160" w:line="240" w:lineRule="exact"/>
              <w:jc w:val="center"/>
              <w:rPr>
                <w:rStyle w:val="a3"/>
                <w:i w:val="0"/>
                <w:sz w:val="28"/>
                <w:szCs w:val="28"/>
              </w:rPr>
            </w:pPr>
            <w:r w:rsidRPr="00E20C3E">
              <w:rPr>
                <w:rStyle w:val="a3"/>
                <w:i w:val="0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495C3A" w:rsidRPr="00E20C3E" w:rsidRDefault="00495C3A" w:rsidP="001F5B23">
            <w:pPr>
              <w:widowControl w:val="0"/>
              <w:adjustRightInd w:val="0"/>
              <w:rPr>
                <w:rStyle w:val="a3"/>
                <w:i w:val="0"/>
                <w:sz w:val="28"/>
                <w:szCs w:val="28"/>
              </w:rPr>
            </w:pPr>
            <w:r w:rsidRPr="00E20C3E">
              <w:rPr>
                <w:rStyle w:val="a3"/>
                <w:i w:val="0"/>
                <w:sz w:val="28"/>
                <w:szCs w:val="28"/>
              </w:rPr>
              <w:t xml:space="preserve">Приложение </w:t>
            </w:r>
            <w:r>
              <w:rPr>
                <w:rStyle w:val="a3"/>
                <w:i w:val="0"/>
                <w:sz w:val="28"/>
                <w:szCs w:val="28"/>
              </w:rPr>
              <w:t>№ 1</w:t>
            </w:r>
          </w:p>
          <w:p w:rsidR="00495C3A" w:rsidRPr="00E20C3E" w:rsidRDefault="00495C3A" w:rsidP="001F5B23">
            <w:pPr>
              <w:widowControl w:val="0"/>
              <w:adjustRightInd w:val="0"/>
              <w:rPr>
                <w:rStyle w:val="a3"/>
                <w:i w:val="0"/>
                <w:sz w:val="28"/>
                <w:szCs w:val="28"/>
              </w:rPr>
            </w:pPr>
            <w:r w:rsidRPr="00E20C3E">
              <w:rPr>
                <w:rStyle w:val="a3"/>
                <w:i w:val="0"/>
                <w:sz w:val="28"/>
                <w:szCs w:val="28"/>
              </w:rPr>
              <w:t xml:space="preserve">к </w:t>
            </w:r>
            <w:r>
              <w:rPr>
                <w:rStyle w:val="a3"/>
                <w:i w:val="0"/>
                <w:sz w:val="28"/>
                <w:szCs w:val="28"/>
              </w:rPr>
              <w:t>распоряжению</w:t>
            </w:r>
            <w:r w:rsidRPr="00E20C3E">
              <w:rPr>
                <w:rStyle w:val="a3"/>
                <w:i w:val="0"/>
                <w:sz w:val="28"/>
                <w:szCs w:val="28"/>
              </w:rPr>
              <w:t xml:space="preserve"> Администрации</w:t>
            </w:r>
          </w:p>
          <w:p w:rsidR="00495C3A" w:rsidRPr="00E20C3E" w:rsidRDefault="00495C3A" w:rsidP="001F5B23">
            <w:pPr>
              <w:widowControl w:val="0"/>
              <w:adjustRightInd w:val="0"/>
              <w:rPr>
                <w:rStyle w:val="a3"/>
                <w:i w:val="0"/>
                <w:sz w:val="28"/>
                <w:szCs w:val="28"/>
              </w:rPr>
            </w:pPr>
            <w:r w:rsidRPr="00E20C3E">
              <w:rPr>
                <w:rStyle w:val="a3"/>
                <w:i w:val="0"/>
                <w:sz w:val="28"/>
                <w:szCs w:val="28"/>
              </w:rPr>
              <w:t>Петровского сельского поселения</w:t>
            </w:r>
          </w:p>
          <w:p w:rsidR="00495C3A" w:rsidRPr="00E20C3E" w:rsidRDefault="00495C3A" w:rsidP="001F5B23">
            <w:pPr>
              <w:widowControl w:val="0"/>
              <w:adjustRightInd w:val="0"/>
              <w:rPr>
                <w:rStyle w:val="a3"/>
                <w:i w:val="0"/>
                <w:sz w:val="28"/>
                <w:szCs w:val="28"/>
              </w:rPr>
            </w:pPr>
            <w:r w:rsidRPr="00E20C3E">
              <w:rPr>
                <w:rStyle w:val="a3"/>
                <w:i w:val="0"/>
                <w:sz w:val="28"/>
                <w:szCs w:val="28"/>
              </w:rPr>
              <w:t>Омского муниципального района</w:t>
            </w:r>
          </w:p>
          <w:p w:rsidR="00495C3A" w:rsidRPr="00E20C3E" w:rsidRDefault="00495C3A" w:rsidP="001F5B23">
            <w:pPr>
              <w:widowControl w:val="0"/>
              <w:adjustRightInd w:val="0"/>
              <w:rPr>
                <w:rStyle w:val="a3"/>
                <w:i w:val="0"/>
                <w:sz w:val="28"/>
                <w:szCs w:val="28"/>
              </w:rPr>
            </w:pPr>
            <w:r w:rsidRPr="00E20C3E">
              <w:rPr>
                <w:rStyle w:val="a3"/>
                <w:i w:val="0"/>
                <w:sz w:val="28"/>
                <w:szCs w:val="28"/>
              </w:rPr>
              <w:t>Омской области</w:t>
            </w:r>
          </w:p>
          <w:p w:rsidR="00495C3A" w:rsidRPr="00E20C3E" w:rsidRDefault="00495C3A" w:rsidP="001F5B23">
            <w:pPr>
              <w:widowControl w:val="0"/>
              <w:shd w:val="clear" w:color="auto" w:fill="FFFFFF"/>
              <w:adjustRightInd w:val="0"/>
              <w:rPr>
                <w:rStyle w:val="a3"/>
                <w:i w:val="0"/>
                <w:sz w:val="28"/>
                <w:szCs w:val="28"/>
              </w:rPr>
            </w:pPr>
            <w:r w:rsidRPr="00E20C3E">
              <w:rPr>
                <w:rStyle w:val="a3"/>
                <w:i w:val="0"/>
                <w:sz w:val="28"/>
                <w:szCs w:val="28"/>
              </w:rPr>
              <w:t xml:space="preserve">от  </w:t>
            </w:r>
            <w:r>
              <w:rPr>
                <w:rStyle w:val="a3"/>
                <w:i w:val="0"/>
                <w:sz w:val="28"/>
                <w:szCs w:val="28"/>
              </w:rPr>
              <w:t>14.11.2022</w:t>
            </w:r>
            <w:r w:rsidRPr="00E20C3E">
              <w:rPr>
                <w:rStyle w:val="a3"/>
                <w:i w:val="0"/>
                <w:sz w:val="28"/>
                <w:szCs w:val="28"/>
              </w:rPr>
              <w:t xml:space="preserve">  №  </w:t>
            </w:r>
            <w:r>
              <w:rPr>
                <w:rStyle w:val="a3"/>
                <w:i w:val="0"/>
                <w:sz w:val="28"/>
                <w:szCs w:val="28"/>
              </w:rPr>
              <w:t>75</w:t>
            </w:r>
          </w:p>
          <w:p w:rsidR="00495C3A" w:rsidRPr="00E20C3E" w:rsidRDefault="00495C3A" w:rsidP="001F5B23">
            <w:pPr>
              <w:widowControl w:val="0"/>
              <w:adjustRightInd w:val="0"/>
              <w:jc w:val="right"/>
              <w:rPr>
                <w:rStyle w:val="a3"/>
                <w:i w:val="0"/>
                <w:sz w:val="28"/>
                <w:szCs w:val="28"/>
              </w:rPr>
            </w:pPr>
          </w:p>
        </w:tc>
      </w:tr>
    </w:tbl>
    <w:p w:rsidR="00495C3A" w:rsidRDefault="00495C3A" w:rsidP="00495C3A">
      <w:pPr>
        <w:spacing w:after="19" w:line="240" w:lineRule="exact"/>
        <w:jc w:val="center"/>
        <w:rPr>
          <w:sz w:val="28"/>
          <w:szCs w:val="28"/>
          <w:lang w:bidi="ru-RU"/>
        </w:rPr>
      </w:pPr>
    </w:p>
    <w:p w:rsidR="00495C3A" w:rsidRPr="00926EB4" w:rsidRDefault="00495C3A" w:rsidP="00495C3A">
      <w:pPr>
        <w:spacing w:after="19" w:line="240" w:lineRule="exact"/>
        <w:jc w:val="center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>ИЗВЕЩЕНИЕ</w:t>
      </w:r>
    </w:p>
    <w:p w:rsidR="00495C3A" w:rsidRPr="00926EB4" w:rsidRDefault="00495C3A" w:rsidP="00495C3A">
      <w:pPr>
        <w:spacing w:after="312" w:line="240" w:lineRule="exact"/>
        <w:jc w:val="center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>о проведении открытого аукциона на право заключения договора аренды</w:t>
      </w:r>
    </w:p>
    <w:p w:rsidR="00495C3A" w:rsidRPr="00926EB4" w:rsidRDefault="00495C3A" w:rsidP="00495C3A">
      <w:pPr>
        <w:widowControl w:val="0"/>
        <w:tabs>
          <w:tab w:val="left" w:pos="3639"/>
        </w:tabs>
        <w:ind w:right="20" w:firstLine="567"/>
        <w:jc w:val="both"/>
        <w:rPr>
          <w:sz w:val="28"/>
          <w:szCs w:val="28"/>
          <w:lang w:bidi="ru-RU"/>
        </w:rPr>
      </w:pPr>
      <w:r w:rsidRPr="00926EB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1. </w:t>
      </w:r>
      <w:r w:rsidRPr="00926EB4">
        <w:rPr>
          <w:sz w:val="28"/>
          <w:szCs w:val="28"/>
          <w:lang w:bidi="ru-RU"/>
        </w:rPr>
        <w:t xml:space="preserve">Организатор аукциона: </w:t>
      </w:r>
      <w:r w:rsidRPr="009952A7">
        <w:rPr>
          <w:rStyle w:val="a3"/>
          <w:i w:val="0"/>
          <w:sz w:val="28"/>
          <w:szCs w:val="28"/>
        </w:rPr>
        <w:t xml:space="preserve">Администрация </w:t>
      </w:r>
      <w:r>
        <w:rPr>
          <w:rStyle w:val="a3"/>
          <w:i w:val="0"/>
          <w:sz w:val="28"/>
          <w:szCs w:val="28"/>
        </w:rPr>
        <w:t xml:space="preserve">Петровского сельского поселения </w:t>
      </w:r>
      <w:r w:rsidRPr="009952A7">
        <w:rPr>
          <w:rStyle w:val="a3"/>
          <w:i w:val="0"/>
          <w:sz w:val="28"/>
          <w:szCs w:val="28"/>
        </w:rPr>
        <w:t xml:space="preserve">Омского </w:t>
      </w:r>
      <w:r w:rsidRPr="00926EB4">
        <w:rPr>
          <w:rStyle w:val="a3"/>
          <w:i w:val="0"/>
          <w:sz w:val="28"/>
          <w:szCs w:val="28"/>
        </w:rPr>
        <w:t>муниципального района Омской области</w:t>
      </w:r>
      <w:r>
        <w:rPr>
          <w:sz w:val="28"/>
          <w:szCs w:val="28"/>
          <w:lang w:bidi="ru-RU"/>
        </w:rPr>
        <w:t xml:space="preserve">. Адрес: </w:t>
      </w:r>
      <w:r w:rsidRPr="00926EB4">
        <w:rPr>
          <w:sz w:val="28"/>
          <w:szCs w:val="28"/>
        </w:rPr>
        <w:t>644541, Омская область, Омский район, с. Петровка, ул. Центральная, д. 9 «А».</w:t>
      </w:r>
      <w:r w:rsidRPr="00926EB4">
        <w:rPr>
          <w:sz w:val="28"/>
          <w:szCs w:val="28"/>
          <w:lang w:bidi="ru-RU"/>
        </w:rPr>
        <w:t xml:space="preserve"> </w:t>
      </w:r>
      <w:r w:rsidRPr="00926EB4">
        <w:rPr>
          <w:sz w:val="28"/>
          <w:szCs w:val="28"/>
          <w:lang w:val="en-US" w:eastAsia="en-US" w:bidi="en-US"/>
        </w:rPr>
        <w:t>mail</w:t>
      </w:r>
      <w:r w:rsidRPr="00926EB4">
        <w:rPr>
          <w:sz w:val="28"/>
          <w:szCs w:val="28"/>
          <w:lang w:eastAsia="en-US" w:bidi="en-US"/>
        </w:rPr>
        <w:t xml:space="preserve">: </w:t>
      </w:r>
      <w:r w:rsidRPr="00926EB4">
        <w:rPr>
          <w:sz w:val="28"/>
          <w:szCs w:val="28"/>
          <w:shd w:val="clear" w:color="auto" w:fill="FFFFFF"/>
        </w:rPr>
        <w:t>petrovka541@mail.ru</w:t>
      </w:r>
      <w:r w:rsidRPr="00926EB4">
        <w:rPr>
          <w:sz w:val="28"/>
          <w:szCs w:val="28"/>
        </w:rPr>
        <w:t>.</w:t>
      </w:r>
      <w:r w:rsidRPr="00926EB4">
        <w:rPr>
          <w:sz w:val="28"/>
          <w:szCs w:val="28"/>
          <w:lang w:eastAsia="en-US" w:bidi="en-US"/>
        </w:rPr>
        <w:t xml:space="preserve">, </w:t>
      </w:r>
      <w:r w:rsidRPr="00926EB4">
        <w:rPr>
          <w:sz w:val="28"/>
          <w:szCs w:val="28"/>
          <w:lang w:bidi="ru-RU"/>
        </w:rPr>
        <w:t xml:space="preserve">тел. </w:t>
      </w:r>
      <w:r w:rsidRPr="00926EB4">
        <w:rPr>
          <w:sz w:val="28"/>
          <w:szCs w:val="28"/>
        </w:rPr>
        <w:t>8 (3812) 924-100</w:t>
      </w:r>
      <w:r>
        <w:t xml:space="preserve"> </w:t>
      </w:r>
      <w:r w:rsidRPr="00926EB4">
        <w:rPr>
          <w:sz w:val="28"/>
          <w:szCs w:val="28"/>
          <w:lang w:bidi="ru-RU"/>
        </w:rPr>
        <w:t>проводит торги в форме открытого аукциона на право заключения договора аренды в отношении нежил</w:t>
      </w:r>
      <w:r>
        <w:rPr>
          <w:sz w:val="28"/>
          <w:szCs w:val="28"/>
          <w:lang w:bidi="ru-RU"/>
        </w:rPr>
        <w:t>ых</w:t>
      </w:r>
      <w:r w:rsidRPr="00926EB4">
        <w:rPr>
          <w:sz w:val="28"/>
          <w:szCs w:val="28"/>
          <w:lang w:bidi="ru-RU"/>
        </w:rPr>
        <w:t xml:space="preserve"> помещени</w:t>
      </w:r>
      <w:r>
        <w:rPr>
          <w:sz w:val="28"/>
          <w:szCs w:val="28"/>
          <w:lang w:bidi="ru-RU"/>
        </w:rPr>
        <w:t>й</w:t>
      </w:r>
      <w:r w:rsidRPr="00926EB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№№ 6-11</w:t>
      </w:r>
      <w:r w:rsidRPr="00AF0F09">
        <w:rPr>
          <w:sz w:val="28"/>
          <w:szCs w:val="28"/>
          <w:lang w:bidi="ru-RU"/>
        </w:rPr>
        <w:t xml:space="preserve"> на поэтажном плане </w:t>
      </w:r>
      <w:r>
        <w:rPr>
          <w:sz w:val="28"/>
          <w:szCs w:val="28"/>
          <w:lang w:bidi="ru-RU"/>
        </w:rPr>
        <w:t>1 этажа</w:t>
      </w:r>
      <w:r w:rsidRPr="00AF0F09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общей </w:t>
      </w:r>
      <w:r w:rsidRPr="00AF0F09">
        <w:rPr>
          <w:sz w:val="28"/>
          <w:szCs w:val="28"/>
          <w:lang w:bidi="ru-RU"/>
        </w:rPr>
        <w:t xml:space="preserve">площадью </w:t>
      </w:r>
      <w:r>
        <w:rPr>
          <w:sz w:val="28"/>
          <w:szCs w:val="28"/>
          <w:lang w:bidi="ru-RU"/>
        </w:rPr>
        <w:t>112,7</w:t>
      </w:r>
      <w:r w:rsidRPr="00AF0F09">
        <w:rPr>
          <w:sz w:val="28"/>
          <w:szCs w:val="28"/>
          <w:lang w:bidi="ru-RU"/>
        </w:rPr>
        <w:t xml:space="preserve"> кв.м, расположенн</w:t>
      </w:r>
      <w:r>
        <w:rPr>
          <w:sz w:val="28"/>
          <w:szCs w:val="28"/>
          <w:lang w:bidi="ru-RU"/>
        </w:rPr>
        <w:t>ыми в нежилом здании конторы, литер</w:t>
      </w:r>
      <w:proofErr w:type="gramStart"/>
      <w:r>
        <w:rPr>
          <w:sz w:val="28"/>
          <w:szCs w:val="28"/>
          <w:lang w:bidi="ru-RU"/>
        </w:rPr>
        <w:t xml:space="preserve"> А</w:t>
      </w:r>
      <w:proofErr w:type="gramEnd"/>
      <w:r>
        <w:rPr>
          <w:sz w:val="28"/>
          <w:szCs w:val="28"/>
          <w:lang w:bidi="ru-RU"/>
        </w:rPr>
        <w:t>,</w:t>
      </w:r>
      <w:r w:rsidRPr="00AF0F09">
        <w:rPr>
          <w:sz w:val="28"/>
          <w:szCs w:val="28"/>
          <w:lang w:bidi="ru-RU"/>
        </w:rPr>
        <w:t xml:space="preserve"> по адресу: </w:t>
      </w:r>
      <w:r w:rsidRPr="004D2124">
        <w:rPr>
          <w:sz w:val="28"/>
          <w:szCs w:val="28"/>
        </w:rPr>
        <w:t xml:space="preserve">Омская область, Омский район, </w:t>
      </w:r>
      <w:proofErr w:type="gramStart"/>
      <w:r w:rsidRPr="004D2124">
        <w:rPr>
          <w:sz w:val="28"/>
          <w:szCs w:val="28"/>
        </w:rPr>
        <w:t>с</w:t>
      </w:r>
      <w:proofErr w:type="gramEnd"/>
      <w:r w:rsidRPr="004D2124">
        <w:rPr>
          <w:sz w:val="28"/>
          <w:szCs w:val="28"/>
        </w:rPr>
        <w:t xml:space="preserve">. </w:t>
      </w:r>
      <w:proofErr w:type="gramStart"/>
      <w:r w:rsidRPr="004D2124">
        <w:rPr>
          <w:sz w:val="28"/>
          <w:szCs w:val="28"/>
        </w:rPr>
        <w:t>Петровка</w:t>
      </w:r>
      <w:proofErr w:type="gramEnd"/>
      <w:r w:rsidRPr="004D2124">
        <w:rPr>
          <w:sz w:val="28"/>
          <w:szCs w:val="28"/>
        </w:rPr>
        <w:t>, ул. Центральная, дом № 22</w:t>
      </w:r>
      <w:r>
        <w:rPr>
          <w:sz w:val="28"/>
          <w:szCs w:val="28"/>
          <w:lang w:bidi="ru-RU"/>
        </w:rPr>
        <w:t xml:space="preserve">. Состояние - </w:t>
      </w:r>
      <w:r w:rsidRPr="00926EB4">
        <w:rPr>
          <w:sz w:val="28"/>
          <w:szCs w:val="28"/>
          <w:lang w:bidi="ru-RU"/>
        </w:rPr>
        <w:t xml:space="preserve">удовлетворительное. Цель использования - не запрещенная законодательством </w:t>
      </w:r>
      <w:proofErr w:type="spellStart"/>
      <w:r w:rsidRPr="00926EB4">
        <w:rPr>
          <w:sz w:val="28"/>
          <w:szCs w:val="28"/>
          <w:lang w:bidi="ru-RU"/>
        </w:rPr>
        <w:t>административно</w:t>
      </w:r>
      <w:r w:rsidRPr="00926EB4">
        <w:rPr>
          <w:sz w:val="28"/>
          <w:szCs w:val="28"/>
          <w:lang w:bidi="ru-RU"/>
        </w:rPr>
        <w:softHyphen/>
        <w:t>хозяйственная</w:t>
      </w:r>
      <w:proofErr w:type="spellEnd"/>
      <w:r w:rsidRPr="00926EB4">
        <w:rPr>
          <w:sz w:val="28"/>
          <w:szCs w:val="28"/>
          <w:lang w:bidi="ru-RU"/>
        </w:rPr>
        <w:t xml:space="preserve"> деятельность.</w:t>
      </w:r>
    </w:p>
    <w:p w:rsidR="00495C3A" w:rsidRPr="00926EB4" w:rsidRDefault="00495C3A" w:rsidP="00495C3A">
      <w:pPr>
        <w:widowControl w:val="0"/>
        <w:ind w:right="20"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2. </w:t>
      </w:r>
      <w:r w:rsidRPr="00926EB4">
        <w:rPr>
          <w:sz w:val="28"/>
          <w:szCs w:val="28"/>
          <w:lang w:bidi="ru-RU"/>
        </w:rPr>
        <w:t xml:space="preserve">Начальная (минимальная) цена договора составляет </w:t>
      </w:r>
      <w:r>
        <w:rPr>
          <w:sz w:val="28"/>
          <w:szCs w:val="28"/>
          <w:lang w:bidi="ru-RU"/>
        </w:rPr>
        <w:t>80</w:t>
      </w:r>
      <w:r w:rsidRPr="00926EB4">
        <w:rPr>
          <w:sz w:val="28"/>
          <w:szCs w:val="28"/>
          <w:lang w:bidi="ru-RU"/>
        </w:rPr>
        <w:t>00</w:t>
      </w:r>
      <w:r>
        <w:rPr>
          <w:sz w:val="28"/>
          <w:szCs w:val="28"/>
          <w:lang w:bidi="ru-RU"/>
        </w:rPr>
        <w:t>, 00</w:t>
      </w:r>
      <w:r w:rsidRPr="00926EB4">
        <w:rPr>
          <w:sz w:val="28"/>
          <w:szCs w:val="28"/>
          <w:lang w:bidi="ru-RU"/>
        </w:rPr>
        <w:t xml:space="preserve"> рублей в месяц  </w:t>
      </w:r>
      <w:r>
        <w:rPr>
          <w:sz w:val="28"/>
          <w:szCs w:val="28"/>
          <w:lang w:bidi="ru-RU"/>
        </w:rPr>
        <w:t xml:space="preserve">без </w:t>
      </w:r>
      <w:r w:rsidRPr="00926EB4">
        <w:rPr>
          <w:sz w:val="28"/>
          <w:szCs w:val="28"/>
          <w:lang w:bidi="ru-RU"/>
        </w:rPr>
        <w:t xml:space="preserve"> НДС.</w:t>
      </w:r>
    </w:p>
    <w:p w:rsidR="00495C3A" w:rsidRPr="00926EB4" w:rsidRDefault="00495C3A" w:rsidP="00495C3A">
      <w:pPr>
        <w:widowControl w:val="0"/>
        <w:ind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3. </w:t>
      </w:r>
      <w:r w:rsidRPr="00926EB4">
        <w:rPr>
          <w:sz w:val="28"/>
          <w:szCs w:val="28"/>
          <w:lang w:bidi="ru-RU"/>
        </w:rPr>
        <w:t>Срок действия договора аренды - 3 года.</w:t>
      </w:r>
    </w:p>
    <w:p w:rsidR="00495C3A" w:rsidRPr="00926EB4" w:rsidRDefault="00495C3A" w:rsidP="00495C3A">
      <w:pPr>
        <w:widowControl w:val="0"/>
        <w:ind w:right="20"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4. </w:t>
      </w:r>
      <w:r w:rsidRPr="00926EB4">
        <w:rPr>
          <w:sz w:val="28"/>
          <w:szCs w:val="28"/>
          <w:lang w:bidi="ru-RU"/>
        </w:rPr>
        <w:t xml:space="preserve">Срок, место и порядок предоставления документации об аукционе: после размещения на официальном сайте в </w:t>
      </w:r>
      <w:proofErr w:type="spellStart"/>
      <w:r w:rsidRPr="00926EB4">
        <w:rPr>
          <w:sz w:val="28"/>
          <w:szCs w:val="28"/>
          <w:lang w:bidi="ru-RU"/>
        </w:rPr>
        <w:t>информационно</w:t>
      </w:r>
      <w:r w:rsidRPr="00926EB4">
        <w:rPr>
          <w:sz w:val="28"/>
          <w:szCs w:val="28"/>
          <w:lang w:bidi="ru-RU"/>
        </w:rPr>
        <w:softHyphen/>
        <w:t>телекоммуникационной</w:t>
      </w:r>
      <w:proofErr w:type="spellEnd"/>
      <w:r w:rsidRPr="00926EB4">
        <w:rPr>
          <w:sz w:val="28"/>
          <w:szCs w:val="28"/>
          <w:lang w:bidi="ru-RU"/>
        </w:rPr>
        <w:t xml:space="preserve"> сети </w:t>
      </w:r>
      <w:r>
        <w:rPr>
          <w:sz w:val="28"/>
          <w:szCs w:val="28"/>
          <w:lang w:bidi="ru-RU"/>
        </w:rPr>
        <w:t>«</w:t>
      </w:r>
      <w:r w:rsidRPr="00926EB4">
        <w:rPr>
          <w:sz w:val="28"/>
          <w:szCs w:val="28"/>
          <w:lang w:bidi="ru-RU"/>
        </w:rPr>
        <w:t>Интернет</w:t>
      </w:r>
      <w:r>
        <w:rPr>
          <w:sz w:val="28"/>
          <w:szCs w:val="28"/>
          <w:lang w:bidi="ru-RU"/>
        </w:rPr>
        <w:t>»</w:t>
      </w:r>
      <w:r w:rsidRPr="00926EB4">
        <w:rPr>
          <w:sz w:val="28"/>
          <w:szCs w:val="28"/>
          <w:lang w:bidi="ru-RU"/>
        </w:rPr>
        <w:t xml:space="preserve"> на сайте с адресом </w:t>
      </w:r>
      <w:hyperlink r:id="rId4" w:history="1">
        <w:r w:rsidRPr="00926EB4">
          <w:rPr>
            <w:rStyle w:val="a4"/>
            <w:color w:val="000000" w:themeColor="text1"/>
            <w:sz w:val="28"/>
            <w:szCs w:val="28"/>
            <w:lang w:val="en-US" w:eastAsia="en-US" w:bidi="en-US"/>
          </w:rPr>
          <w:t>www</w:t>
        </w:r>
        <w:r w:rsidRPr="00926EB4">
          <w:rPr>
            <w:rStyle w:val="a4"/>
            <w:color w:val="000000" w:themeColor="text1"/>
            <w:sz w:val="28"/>
            <w:szCs w:val="28"/>
            <w:lang w:eastAsia="en-US" w:bidi="en-US"/>
          </w:rPr>
          <w:t>.</w:t>
        </w:r>
        <w:r w:rsidRPr="00926EB4">
          <w:rPr>
            <w:rStyle w:val="a4"/>
            <w:color w:val="000000" w:themeColor="text1"/>
            <w:sz w:val="28"/>
            <w:szCs w:val="28"/>
            <w:lang w:val="en-US" w:eastAsia="en-US" w:bidi="en-US"/>
          </w:rPr>
          <w:t>torgi</w:t>
        </w:r>
        <w:r w:rsidRPr="00926EB4">
          <w:rPr>
            <w:rStyle w:val="a4"/>
            <w:color w:val="000000" w:themeColor="text1"/>
            <w:sz w:val="28"/>
            <w:szCs w:val="28"/>
            <w:lang w:eastAsia="en-US" w:bidi="en-US"/>
          </w:rPr>
          <w:t>.</w:t>
        </w:r>
        <w:r w:rsidRPr="00926EB4">
          <w:rPr>
            <w:rStyle w:val="a4"/>
            <w:color w:val="000000" w:themeColor="text1"/>
            <w:sz w:val="28"/>
            <w:szCs w:val="28"/>
            <w:lang w:val="en-US" w:eastAsia="en-US" w:bidi="en-US"/>
          </w:rPr>
          <w:t>gov</w:t>
        </w:r>
        <w:r w:rsidRPr="00926EB4">
          <w:rPr>
            <w:rStyle w:val="a4"/>
            <w:color w:val="000000" w:themeColor="text1"/>
            <w:sz w:val="28"/>
            <w:szCs w:val="28"/>
            <w:lang w:eastAsia="en-US" w:bidi="en-US"/>
          </w:rPr>
          <w:t>.</w:t>
        </w:r>
        <w:r w:rsidRPr="00926EB4">
          <w:rPr>
            <w:rStyle w:val="a4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926EB4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926EB4">
        <w:rPr>
          <w:sz w:val="28"/>
          <w:szCs w:val="28"/>
          <w:lang w:bidi="ru-RU"/>
        </w:rPr>
        <w:t>извещения о проведен</w:t>
      </w:r>
      <w:proofErr w:type="gramStart"/>
      <w:r w:rsidRPr="00926EB4">
        <w:rPr>
          <w:sz w:val="28"/>
          <w:szCs w:val="28"/>
          <w:lang w:bidi="ru-RU"/>
        </w:rPr>
        <w:t>ии ау</w:t>
      </w:r>
      <w:proofErr w:type="gramEnd"/>
      <w:r w:rsidRPr="00926EB4">
        <w:rPr>
          <w:sz w:val="28"/>
          <w:szCs w:val="28"/>
          <w:lang w:bidi="ru-RU"/>
        </w:rPr>
        <w:t>кциона</w:t>
      </w:r>
      <w:r>
        <w:rPr>
          <w:sz w:val="28"/>
          <w:szCs w:val="28"/>
          <w:lang w:bidi="ru-RU"/>
        </w:rPr>
        <w:t>,</w:t>
      </w:r>
      <w:r w:rsidRPr="00926EB4">
        <w:rPr>
          <w:sz w:val="28"/>
          <w:szCs w:val="28"/>
          <w:lang w:bidi="ru-RU"/>
        </w:rPr>
        <w:t xml:space="preserve"> документация об аукционе предоставляется на основании заявления любого заинтересованного лица в течение двух рабочих дней с даты получения соответствующего заявления. Заявление подается в письменной форме посредством почтовой связи, в том числе в форме электронного документа. Заинтересованные лица могут получить документацию </w:t>
      </w:r>
      <w:proofErr w:type="gramStart"/>
      <w:r w:rsidRPr="00926EB4">
        <w:rPr>
          <w:sz w:val="28"/>
          <w:szCs w:val="28"/>
          <w:lang w:bidi="ru-RU"/>
        </w:rPr>
        <w:t>об аукционе в течение срока приема заявок на участие в аукционе в письменной форме</w:t>
      </w:r>
      <w:proofErr w:type="gramEnd"/>
      <w:r w:rsidRPr="00926EB4">
        <w:rPr>
          <w:sz w:val="28"/>
          <w:szCs w:val="28"/>
          <w:lang w:bidi="ru-RU"/>
        </w:rPr>
        <w:t xml:space="preserve"> посредством почтовой связи или в форме электронного документа. Документация об аукционе также размещена в информационно</w:t>
      </w:r>
      <w:r w:rsidRPr="00926EB4">
        <w:rPr>
          <w:sz w:val="28"/>
          <w:szCs w:val="28"/>
          <w:lang w:bidi="ru-RU"/>
        </w:rPr>
        <w:softHyphen/>
      </w:r>
      <w:r>
        <w:rPr>
          <w:sz w:val="28"/>
          <w:szCs w:val="28"/>
          <w:lang w:bidi="ru-RU"/>
        </w:rPr>
        <w:t>-</w:t>
      </w:r>
      <w:r w:rsidRPr="00926EB4">
        <w:rPr>
          <w:sz w:val="28"/>
          <w:szCs w:val="28"/>
          <w:lang w:bidi="ru-RU"/>
        </w:rPr>
        <w:t xml:space="preserve">телекоммуникационной сети </w:t>
      </w:r>
      <w:r>
        <w:rPr>
          <w:sz w:val="28"/>
          <w:szCs w:val="28"/>
          <w:lang w:bidi="ru-RU"/>
        </w:rPr>
        <w:t>«</w:t>
      </w:r>
      <w:r w:rsidRPr="00926EB4">
        <w:rPr>
          <w:sz w:val="28"/>
          <w:szCs w:val="28"/>
          <w:lang w:bidi="ru-RU"/>
        </w:rPr>
        <w:t>Интернет</w:t>
      </w:r>
      <w:r>
        <w:rPr>
          <w:sz w:val="28"/>
          <w:szCs w:val="28"/>
          <w:lang w:bidi="ru-RU"/>
        </w:rPr>
        <w:t>»</w:t>
      </w:r>
      <w:r w:rsidRPr="00926EB4">
        <w:rPr>
          <w:sz w:val="28"/>
          <w:szCs w:val="28"/>
          <w:lang w:bidi="ru-RU"/>
        </w:rPr>
        <w:t xml:space="preserve"> на сайте с адресом </w:t>
      </w:r>
      <w:r w:rsidRPr="00926EB4">
        <w:rPr>
          <w:sz w:val="28"/>
          <w:szCs w:val="28"/>
          <w:u w:val="single"/>
          <w:lang w:val="en-US" w:eastAsia="en-US" w:bidi="en-US"/>
        </w:rPr>
        <w:t>www</w:t>
      </w:r>
      <w:r w:rsidRPr="00926EB4">
        <w:rPr>
          <w:sz w:val="28"/>
          <w:szCs w:val="28"/>
          <w:u w:val="single"/>
          <w:lang w:eastAsia="en-US" w:bidi="en-US"/>
        </w:rPr>
        <w:t>.</w:t>
      </w:r>
      <w:r w:rsidRPr="00926EB4">
        <w:rPr>
          <w:sz w:val="28"/>
          <w:szCs w:val="28"/>
          <w:u w:val="single"/>
          <w:lang w:val="en-US" w:eastAsia="en-US" w:bidi="en-US"/>
        </w:rPr>
        <w:t>adm</w:t>
      </w:r>
      <w:r w:rsidRPr="00926EB4">
        <w:rPr>
          <w:sz w:val="28"/>
          <w:szCs w:val="28"/>
          <w:u w:val="single"/>
          <w:lang w:eastAsia="en-US" w:bidi="en-US"/>
        </w:rPr>
        <w:t>-</w:t>
      </w:r>
      <w:r w:rsidRPr="00926EB4">
        <w:rPr>
          <w:sz w:val="28"/>
          <w:szCs w:val="28"/>
          <w:u w:val="single"/>
          <w:lang w:val="en-US" w:eastAsia="en-US" w:bidi="en-US"/>
        </w:rPr>
        <w:t>petrovka</w:t>
      </w:r>
      <w:r w:rsidRPr="00926EB4">
        <w:rPr>
          <w:sz w:val="28"/>
          <w:szCs w:val="28"/>
          <w:u w:val="single"/>
          <w:lang w:eastAsia="en-US" w:bidi="en-US"/>
        </w:rPr>
        <w:t>.</w:t>
      </w:r>
      <w:r w:rsidRPr="00926EB4">
        <w:rPr>
          <w:sz w:val="28"/>
          <w:szCs w:val="28"/>
          <w:u w:val="single"/>
          <w:lang w:val="en-US" w:eastAsia="en-US" w:bidi="en-US"/>
        </w:rPr>
        <w:t>ru</w:t>
      </w:r>
      <w:r w:rsidRPr="00926EB4">
        <w:rPr>
          <w:sz w:val="28"/>
          <w:szCs w:val="28"/>
          <w:lang w:eastAsia="en-US" w:bidi="en-US"/>
        </w:rPr>
        <w:t xml:space="preserve">. </w:t>
      </w:r>
      <w:r w:rsidRPr="00926EB4">
        <w:rPr>
          <w:sz w:val="28"/>
          <w:szCs w:val="28"/>
          <w:lang w:bidi="ru-RU"/>
        </w:rPr>
        <w:t>Документация об аукционе предоставляется бесплатно.</w:t>
      </w:r>
    </w:p>
    <w:p w:rsidR="00495C3A" w:rsidRPr="00926EB4" w:rsidRDefault="00495C3A" w:rsidP="00495C3A">
      <w:pPr>
        <w:widowControl w:val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5.</w:t>
      </w:r>
      <w:r w:rsidRPr="00926EB4">
        <w:rPr>
          <w:sz w:val="28"/>
          <w:szCs w:val="28"/>
          <w:lang w:bidi="ru-RU"/>
        </w:rPr>
        <w:t xml:space="preserve"> Участниками аукциона могут быть любые юридические и физические лица, в том числе индивидуальные предприниматели, соответствующие требованиям, установленным законодательством Российской Федерации к участникам аукциона.</w:t>
      </w:r>
    </w:p>
    <w:p w:rsidR="00495C3A" w:rsidRPr="00926EB4" w:rsidRDefault="00495C3A" w:rsidP="00495C3A">
      <w:pPr>
        <w:ind w:right="20"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lastRenderedPageBreak/>
        <w:t>Для участия в торгах оформляется заявка на участие в аукционе, которая подается в письменной форме в запечатанном конверте посредством почтовой связи или в форме электронного документа.</w:t>
      </w:r>
    </w:p>
    <w:p w:rsidR="00495C3A" w:rsidRPr="00926EB4" w:rsidRDefault="00495C3A" w:rsidP="00495C3A">
      <w:pPr>
        <w:ind w:right="20" w:firstLine="567"/>
        <w:jc w:val="both"/>
        <w:rPr>
          <w:sz w:val="28"/>
          <w:szCs w:val="28"/>
        </w:rPr>
      </w:pPr>
      <w:proofErr w:type="gramStart"/>
      <w:r w:rsidRPr="00926EB4">
        <w:rPr>
          <w:sz w:val="28"/>
          <w:szCs w:val="28"/>
          <w:lang w:bidi="ru-RU"/>
        </w:rPr>
        <w:t>При подаче заявки на участие в аукционе в письменной форме на конверте</w:t>
      </w:r>
      <w:proofErr w:type="gramEnd"/>
      <w:r w:rsidRPr="00926EB4">
        <w:rPr>
          <w:sz w:val="28"/>
          <w:szCs w:val="28"/>
          <w:lang w:bidi="ru-RU"/>
        </w:rPr>
        <w:t xml:space="preserve"> указывается наименование аукциона, на участие в котором подается данная заявка. Заявитель вправе подать только одну заявку в отношении предмета аукциона.</w:t>
      </w:r>
    </w:p>
    <w:p w:rsidR="00495C3A" w:rsidRPr="00926EB4" w:rsidRDefault="00495C3A" w:rsidP="00495C3A">
      <w:pPr>
        <w:ind w:right="20"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 xml:space="preserve">Подача заявок на участие в аукционе в форме электронного документа осуществляется путем направления на адрес электронной почты в информационно-телекоммуникационной сети </w:t>
      </w:r>
      <w:r>
        <w:rPr>
          <w:sz w:val="28"/>
          <w:szCs w:val="28"/>
          <w:lang w:bidi="ru-RU"/>
        </w:rPr>
        <w:t>«</w:t>
      </w:r>
      <w:r w:rsidRPr="00926EB4">
        <w:rPr>
          <w:sz w:val="28"/>
          <w:szCs w:val="28"/>
          <w:lang w:bidi="ru-RU"/>
        </w:rPr>
        <w:t>Интернет</w:t>
      </w:r>
      <w:r>
        <w:rPr>
          <w:sz w:val="28"/>
          <w:szCs w:val="28"/>
          <w:lang w:bidi="ru-RU"/>
        </w:rPr>
        <w:t>»</w:t>
      </w:r>
      <w:r w:rsidRPr="00926EB4">
        <w:rPr>
          <w:sz w:val="28"/>
          <w:szCs w:val="28"/>
          <w:lang w:bidi="ru-RU"/>
        </w:rPr>
        <w:t xml:space="preserve"> </w:t>
      </w:r>
      <w:r w:rsidRPr="00926EB4">
        <w:rPr>
          <w:sz w:val="28"/>
          <w:szCs w:val="28"/>
          <w:lang w:val="en-US" w:eastAsia="en-US" w:bidi="en-US"/>
        </w:rPr>
        <w:t>e</w:t>
      </w:r>
      <w:r w:rsidRPr="00926EB4">
        <w:rPr>
          <w:sz w:val="28"/>
          <w:szCs w:val="28"/>
          <w:lang w:eastAsia="en-US" w:bidi="en-US"/>
        </w:rPr>
        <w:t>-</w:t>
      </w:r>
      <w:r w:rsidRPr="00926EB4">
        <w:rPr>
          <w:sz w:val="28"/>
          <w:szCs w:val="28"/>
          <w:lang w:val="en-US" w:eastAsia="en-US" w:bidi="en-US"/>
        </w:rPr>
        <w:t>mail</w:t>
      </w:r>
      <w:r w:rsidRPr="00926EB4">
        <w:rPr>
          <w:sz w:val="28"/>
          <w:szCs w:val="28"/>
          <w:lang w:eastAsia="en-US" w:bidi="en-US"/>
        </w:rPr>
        <w:t xml:space="preserve">: </w:t>
      </w:r>
      <w:r w:rsidRPr="00787965">
        <w:rPr>
          <w:sz w:val="28"/>
          <w:szCs w:val="28"/>
          <w:u w:val="single"/>
          <w:shd w:val="clear" w:color="auto" w:fill="FFFFFF"/>
        </w:rPr>
        <w:t>petrovka541@mail.ru</w:t>
      </w:r>
      <w:r w:rsidRPr="00926EB4">
        <w:rPr>
          <w:sz w:val="28"/>
          <w:szCs w:val="28"/>
          <w:lang w:eastAsia="en-US" w:bidi="en-US"/>
        </w:rPr>
        <w:t xml:space="preserve"> </w:t>
      </w:r>
      <w:r w:rsidRPr="00926EB4">
        <w:rPr>
          <w:sz w:val="28"/>
          <w:szCs w:val="28"/>
          <w:lang w:bidi="ru-RU"/>
        </w:rPr>
        <w:t xml:space="preserve">с соблюдением требований федерального законодательства (Федеральный закон от 6 апреля 2011 года № 63-ФЗ </w:t>
      </w:r>
      <w:r>
        <w:rPr>
          <w:sz w:val="28"/>
          <w:szCs w:val="28"/>
          <w:lang w:bidi="ru-RU"/>
        </w:rPr>
        <w:t>«</w:t>
      </w:r>
      <w:r w:rsidRPr="00926EB4">
        <w:rPr>
          <w:sz w:val="28"/>
          <w:szCs w:val="28"/>
          <w:lang w:bidi="ru-RU"/>
        </w:rPr>
        <w:t>Об электронной подписи</w:t>
      </w:r>
      <w:r>
        <w:rPr>
          <w:sz w:val="28"/>
          <w:szCs w:val="28"/>
          <w:lang w:bidi="ru-RU"/>
        </w:rPr>
        <w:t>»</w:t>
      </w:r>
      <w:r w:rsidRPr="00926EB4">
        <w:rPr>
          <w:sz w:val="28"/>
          <w:szCs w:val="28"/>
          <w:lang w:bidi="ru-RU"/>
        </w:rPr>
        <w:t>).</w:t>
      </w:r>
    </w:p>
    <w:p w:rsidR="00495C3A" w:rsidRPr="00926EB4" w:rsidRDefault="00495C3A" w:rsidP="00495C3A">
      <w:pPr>
        <w:widowControl w:val="0"/>
        <w:ind w:right="20"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6. </w:t>
      </w:r>
      <w:r w:rsidRPr="00926EB4">
        <w:rPr>
          <w:sz w:val="28"/>
          <w:szCs w:val="28"/>
          <w:lang w:bidi="ru-RU"/>
        </w:rPr>
        <w:t xml:space="preserve">Каждый заявитель не позднее окончания срока подачи заявок должен представить задаток в целях обеспечения исполнения обязательств по заключению договора аренды в размере </w:t>
      </w:r>
      <w:r>
        <w:rPr>
          <w:sz w:val="28"/>
          <w:szCs w:val="28"/>
          <w:lang w:bidi="ru-RU"/>
        </w:rPr>
        <w:t>8000</w:t>
      </w:r>
      <w:r w:rsidRPr="00926EB4">
        <w:rPr>
          <w:sz w:val="28"/>
          <w:szCs w:val="28"/>
          <w:lang w:bidi="ru-RU"/>
        </w:rPr>
        <w:t>,00 рублей.</w:t>
      </w:r>
    </w:p>
    <w:p w:rsidR="00495C3A" w:rsidRPr="00926EB4" w:rsidRDefault="00495C3A" w:rsidP="00495C3A">
      <w:pPr>
        <w:ind w:right="20"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>Заявители вносят денежные средства в качестве обеспечения исполнения обязательств по заключению договоров аренды на следующий расчетный счет:</w:t>
      </w:r>
    </w:p>
    <w:p w:rsidR="00495C3A" w:rsidRPr="00787965" w:rsidRDefault="00495C3A" w:rsidP="00495C3A">
      <w:pPr>
        <w:keepNext/>
        <w:keepLines/>
        <w:ind w:firstLine="567"/>
        <w:jc w:val="both"/>
        <w:rPr>
          <w:bCs/>
          <w:sz w:val="28"/>
          <w:szCs w:val="28"/>
        </w:rPr>
      </w:pPr>
      <w:r w:rsidRPr="00787965">
        <w:rPr>
          <w:bCs/>
          <w:sz w:val="28"/>
          <w:szCs w:val="28"/>
        </w:rPr>
        <w:t xml:space="preserve">Получатель: </w:t>
      </w:r>
      <w:r w:rsidRPr="00787965">
        <w:rPr>
          <w:sz w:val="28"/>
          <w:szCs w:val="28"/>
        </w:rPr>
        <w:t>УФК по Омской области (Администрация Петровского сельского поселения Омского муниципального района Омской области).</w:t>
      </w:r>
    </w:p>
    <w:p w:rsidR="00495C3A" w:rsidRPr="00787965" w:rsidRDefault="00495C3A" w:rsidP="00495C3A">
      <w:pPr>
        <w:jc w:val="both"/>
        <w:rPr>
          <w:sz w:val="28"/>
          <w:szCs w:val="28"/>
        </w:rPr>
      </w:pPr>
      <w:r w:rsidRPr="00787965">
        <w:rPr>
          <w:sz w:val="28"/>
          <w:szCs w:val="28"/>
        </w:rPr>
        <w:t>ИНН 5528024954</w:t>
      </w:r>
    </w:p>
    <w:p w:rsidR="00495C3A" w:rsidRPr="00787965" w:rsidRDefault="00495C3A" w:rsidP="00495C3A">
      <w:pPr>
        <w:jc w:val="both"/>
        <w:rPr>
          <w:sz w:val="28"/>
          <w:szCs w:val="28"/>
        </w:rPr>
      </w:pPr>
      <w:r w:rsidRPr="00787965">
        <w:rPr>
          <w:sz w:val="28"/>
          <w:szCs w:val="28"/>
        </w:rPr>
        <w:t>КПП 552801001</w:t>
      </w:r>
    </w:p>
    <w:p w:rsidR="00495C3A" w:rsidRPr="00787965" w:rsidRDefault="00495C3A" w:rsidP="00495C3A">
      <w:pPr>
        <w:jc w:val="both"/>
        <w:rPr>
          <w:sz w:val="28"/>
          <w:szCs w:val="28"/>
        </w:rPr>
      </w:pPr>
      <w:r w:rsidRPr="00787965">
        <w:rPr>
          <w:sz w:val="28"/>
          <w:szCs w:val="28"/>
        </w:rPr>
        <w:t xml:space="preserve">Корреспондентский счет: 03232643526444375200 </w:t>
      </w:r>
    </w:p>
    <w:p w:rsidR="00495C3A" w:rsidRPr="00787965" w:rsidRDefault="00495C3A" w:rsidP="00495C3A">
      <w:pPr>
        <w:jc w:val="both"/>
        <w:rPr>
          <w:sz w:val="28"/>
          <w:szCs w:val="28"/>
        </w:rPr>
      </w:pPr>
      <w:r w:rsidRPr="00787965">
        <w:rPr>
          <w:sz w:val="28"/>
          <w:szCs w:val="28"/>
        </w:rPr>
        <w:t xml:space="preserve">Расчетный  счет: 40102810245370000044 </w:t>
      </w:r>
    </w:p>
    <w:p w:rsidR="00495C3A" w:rsidRPr="00787965" w:rsidRDefault="00495C3A" w:rsidP="00495C3A">
      <w:pPr>
        <w:jc w:val="both"/>
        <w:rPr>
          <w:sz w:val="28"/>
          <w:szCs w:val="28"/>
        </w:rPr>
      </w:pPr>
      <w:proofErr w:type="gramStart"/>
      <w:r w:rsidRPr="00787965">
        <w:rPr>
          <w:sz w:val="28"/>
          <w:szCs w:val="28"/>
        </w:rPr>
        <w:t>л</w:t>
      </w:r>
      <w:proofErr w:type="gramEnd"/>
      <w:r w:rsidRPr="00787965">
        <w:rPr>
          <w:sz w:val="28"/>
          <w:szCs w:val="28"/>
        </w:rPr>
        <w:t>/с: 617.01.001.6</w:t>
      </w:r>
    </w:p>
    <w:p w:rsidR="00495C3A" w:rsidRPr="00787965" w:rsidRDefault="00495C3A" w:rsidP="00495C3A">
      <w:pPr>
        <w:jc w:val="both"/>
        <w:rPr>
          <w:sz w:val="28"/>
          <w:szCs w:val="28"/>
        </w:rPr>
      </w:pPr>
      <w:r w:rsidRPr="00787965">
        <w:rPr>
          <w:sz w:val="28"/>
          <w:szCs w:val="28"/>
        </w:rPr>
        <w:t xml:space="preserve">Банк: ОТДЕЛЕНИЕ ОМСК БАНКА РОССИИ//УФК по Омской области, </w:t>
      </w:r>
      <w:proofErr w:type="gramStart"/>
      <w:r w:rsidRPr="00787965">
        <w:rPr>
          <w:sz w:val="28"/>
          <w:szCs w:val="28"/>
        </w:rPr>
        <w:t>г</w:t>
      </w:r>
      <w:proofErr w:type="gramEnd"/>
      <w:r w:rsidRPr="00787965">
        <w:rPr>
          <w:sz w:val="28"/>
          <w:szCs w:val="28"/>
        </w:rPr>
        <w:t>. Омск</w:t>
      </w:r>
    </w:p>
    <w:p w:rsidR="00495C3A" w:rsidRPr="00787965" w:rsidRDefault="00495C3A" w:rsidP="00495C3A">
      <w:pPr>
        <w:jc w:val="both"/>
        <w:rPr>
          <w:sz w:val="28"/>
          <w:szCs w:val="28"/>
        </w:rPr>
      </w:pPr>
      <w:r w:rsidRPr="00787965">
        <w:rPr>
          <w:sz w:val="28"/>
          <w:szCs w:val="28"/>
        </w:rPr>
        <w:t>БИК - 015209001</w:t>
      </w:r>
    </w:p>
    <w:p w:rsidR="00495C3A" w:rsidRDefault="00495C3A" w:rsidP="00495C3A">
      <w:pPr>
        <w:tabs>
          <w:tab w:val="left" w:pos="3120"/>
        </w:tabs>
        <w:jc w:val="both"/>
        <w:rPr>
          <w:sz w:val="28"/>
          <w:szCs w:val="28"/>
        </w:rPr>
      </w:pPr>
      <w:r w:rsidRPr="00787965">
        <w:rPr>
          <w:sz w:val="28"/>
          <w:szCs w:val="28"/>
        </w:rPr>
        <w:t>ОКТМО – 52644437</w:t>
      </w:r>
    </w:p>
    <w:p w:rsidR="00495C3A" w:rsidRPr="00787965" w:rsidRDefault="00495C3A" w:rsidP="00495C3A">
      <w:pPr>
        <w:tabs>
          <w:tab w:val="left" w:pos="31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7965">
        <w:rPr>
          <w:sz w:val="28"/>
          <w:szCs w:val="28"/>
        </w:rPr>
        <w:t>В назначении платежа указывается: «Задаток на участие в аукционе</w:t>
      </w:r>
      <w:r>
        <w:rPr>
          <w:sz w:val="28"/>
          <w:szCs w:val="28"/>
        </w:rPr>
        <w:t>».</w:t>
      </w:r>
    </w:p>
    <w:p w:rsidR="00495C3A" w:rsidRPr="00926EB4" w:rsidRDefault="00495C3A" w:rsidP="00495C3A">
      <w:pPr>
        <w:widowControl w:val="0"/>
        <w:ind w:right="20"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7. </w:t>
      </w:r>
      <w:r w:rsidRPr="00926EB4">
        <w:rPr>
          <w:sz w:val="28"/>
          <w:szCs w:val="28"/>
          <w:lang w:bidi="ru-RU"/>
        </w:rPr>
        <w:t xml:space="preserve">Прием заявок на участие в аукционе осуществляется в рабочее время с </w:t>
      </w:r>
      <w:r>
        <w:rPr>
          <w:sz w:val="28"/>
          <w:szCs w:val="28"/>
          <w:lang w:bidi="ru-RU"/>
        </w:rPr>
        <w:t>15 ноября</w:t>
      </w:r>
      <w:r w:rsidRPr="00926EB4">
        <w:rPr>
          <w:sz w:val="28"/>
          <w:szCs w:val="28"/>
          <w:lang w:bidi="ru-RU"/>
        </w:rPr>
        <w:t xml:space="preserve"> 2022 года по </w:t>
      </w:r>
      <w:r>
        <w:rPr>
          <w:sz w:val="28"/>
          <w:szCs w:val="28"/>
          <w:lang w:bidi="ru-RU"/>
        </w:rPr>
        <w:t>06 декабря</w:t>
      </w:r>
      <w:r w:rsidRPr="00926EB4">
        <w:rPr>
          <w:sz w:val="28"/>
          <w:szCs w:val="28"/>
          <w:lang w:bidi="ru-RU"/>
        </w:rPr>
        <w:t xml:space="preserve"> 2022 года до 10.00 часов.</w:t>
      </w:r>
    </w:p>
    <w:p w:rsidR="00495C3A" w:rsidRPr="00926EB4" w:rsidRDefault="00495C3A" w:rsidP="00495C3A">
      <w:pPr>
        <w:widowControl w:val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8. </w:t>
      </w:r>
      <w:r w:rsidRPr="00926EB4">
        <w:rPr>
          <w:sz w:val="28"/>
          <w:szCs w:val="28"/>
          <w:lang w:bidi="ru-RU"/>
        </w:rPr>
        <w:t xml:space="preserve">Срок, в течение которого организатор торгов вправе отказаться от проведения аукциона: не </w:t>
      </w:r>
      <w:proofErr w:type="gramStart"/>
      <w:r w:rsidRPr="00926EB4">
        <w:rPr>
          <w:sz w:val="28"/>
          <w:szCs w:val="28"/>
          <w:lang w:bidi="ru-RU"/>
        </w:rPr>
        <w:t>позднее</w:t>
      </w:r>
      <w:proofErr w:type="gramEnd"/>
      <w:r w:rsidRPr="00926EB4">
        <w:rPr>
          <w:sz w:val="28"/>
          <w:szCs w:val="28"/>
          <w:lang w:bidi="ru-RU"/>
        </w:rPr>
        <w:t xml:space="preserve"> чем за пять дней до даты окончания срока подачи заявок на участие в аукционе.</w:t>
      </w:r>
    </w:p>
    <w:p w:rsidR="00495C3A" w:rsidRPr="00926EB4" w:rsidRDefault="00495C3A" w:rsidP="00495C3A">
      <w:pPr>
        <w:ind w:right="20"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 xml:space="preserve">Организатор аукциона возвращает заявителям задаток в течение 5 рабочих дней </w:t>
      </w:r>
      <w:proofErr w:type="gramStart"/>
      <w:r w:rsidRPr="00926EB4">
        <w:rPr>
          <w:sz w:val="28"/>
          <w:szCs w:val="28"/>
          <w:lang w:bidi="ru-RU"/>
        </w:rPr>
        <w:t>с даты принятия</w:t>
      </w:r>
      <w:proofErr w:type="gramEnd"/>
      <w:r w:rsidRPr="00926EB4">
        <w:rPr>
          <w:sz w:val="28"/>
          <w:szCs w:val="28"/>
          <w:lang w:bidi="ru-RU"/>
        </w:rPr>
        <w:t xml:space="preserve"> решения об отказе от проведения аукциона.</w:t>
      </w:r>
    </w:p>
    <w:p w:rsidR="00495C3A" w:rsidRPr="00926EB4" w:rsidRDefault="00495C3A" w:rsidP="00495C3A">
      <w:pPr>
        <w:widowControl w:val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9. </w:t>
      </w:r>
      <w:r w:rsidRPr="00926EB4">
        <w:rPr>
          <w:sz w:val="28"/>
          <w:szCs w:val="28"/>
          <w:lang w:bidi="ru-RU"/>
        </w:rPr>
        <w:t>В аукционе могут участвовать только заявители, признанные участниками аукциона. Организатор аукциона обеспечивает участникам аукциона возможность принять участие в аукционе непосредственно или через своих представителей.</w:t>
      </w:r>
    </w:p>
    <w:p w:rsidR="00495C3A" w:rsidRPr="00926EB4" w:rsidRDefault="00495C3A" w:rsidP="00495C3A">
      <w:pPr>
        <w:ind w:right="20"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 xml:space="preserve">Аукцион проводится организатором аукциона в присутствии членов аукционной комиссии и участников аукциона (их представителей) путем </w:t>
      </w:r>
      <w:r w:rsidRPr="00926EB4">
        <w:rPr>
          <w:sz w:val="28"/>
          <w:szCs w:val="28"/>
          <w:lang w:bidi="ru-RU"/>
        </w:rPr>
        <w:lastRenderedPageBreak/>
        <w:t>повышения начальной (минимальной) цены договора (цены лота), указанной в извещении о проведен</w:t>
      </w:r>
      <w:proofErr w:type="gramStart"/>
      <w:r w:rsidRPr="00926EB4">
        <w:rPr>
          <w:sz w:val="28"/>
          <w:szCs w:val="28"/>
          <w:lang w:bidi="ru-RU"/>
        </w:rPr>
        <w:t>ии ау</w:t>
      </w:r>
      <w:proofErr w:type="gramEnd"/>
      <w:r w:rsidRPr="00926EB4">
        <w:rPr>
          <w:sz w:val="28"/>
          <w:szCs w:val="28"/>
          <w:lang w:bidi="ru-RU"/>
        </w:rPr>
        <w:t xml:space="preserve">кциона, на </w:t>
      </w:r>
      <w:r>
        <w:rPr>
          <w:sz w:val="28"/>
          <w:szCs w:val="28"/>
          <w:lang w:bidi="ru-RU"/>
        </w:rPr>
        <w:t>«</w:t>
      </w:r>
      <w:r w:rsidRPr="00926EB4">
        <w:rPr>
          <w:sz w:val="28"/>
          <w:szCs w:val="28"/>
          <w:lang w:bidi="ru-RU"/>
        </w:rPr>
        <w:t>шаг аукциона</w:t>
      </w:r>
      <w:r>
        <w:rPr>
          <w:sz w:val="28"/>
          <w:szCs w:val="28"/>
          <w:lang w:bidi="ru-RU"/>
        </w:rPr>
        <w:t>»</w:t>
      </w:r>
      <w:r w:rsidRPr="00926EB4">
        <w:rPr>
          <w:sz w:val="28"/>
          <w:szCs w:val="28"/>
          <w:lang w:bidi="ru-RU"/>
        </w:rPr>
        <w:t>.</w:t>
      </w:r>
    </w:p>
    <w:p w:rsidR="00495C3A" w:rsidRPr="00926EB4" w:rsidRDefault="00495C3A" w:rsidP="00495C3A">
      <w:pPr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«</w:t>
      </w:r>
      <w:r w:rsidRPr="00926EB4">
        <w:rPr>
          <w:sz w:val="28"/>
          <w:szCs w:val="28"/>
          <w:lang w:bidi="ru-RU"/>
        </w:rPr>
        <w:t>Шаг аукциона</w:t>
      </w:r>
      <w:r>
        <w:rPr>
          <w:sz w:val="28"/>
          <w:szCs w:val="28"/>
          <w:lang w:bidi="ru-RU"/>
        </w:rPr>
        <w:t>»</w:t>
      </w:r>
      <w:r w:rsidRPr="00926EB4">
        <w:rPr>
          <w:sz w:val="28"/>
          <w:szCs w:val="28"/>
          <w:lang w:bidi="ru-RU"/>
        </w:rPr>
        <w:t xml:space="preserve">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926EB4">
        <w:rPr>
          <w:sz w:val="28"/>
          <w:szCs w:val="28"/>
          <w:lang w:bidi="ru-RU"/>
        </w:rPr>
        <w:t>ии ау</w:t>
      </w:r>
      <w:proofErr w:type="gramEnd"/>
      <w:r w:rsidRPr="00926EB4">
        <w:rPr>
          <w:sz w:val="28"/>
          <w:szCs w:val="28"/>
          <w:lang w:bidi="ru-RU"/>
        </w:rPr>
        <w:t xml:space="preserve">кциона. </w:t>
      </w:r>
      <w:proofErr w:type="gramStart"/>
      <w:r w:rsidRPr="00926EB4">
        <w:rPr>
          <w:sz w:val="28"/>
          <w:szCs w:val="28"/>
          <w:lang w:bidi="ru-RU"/>
        </w:rPr>
        <w:t xml:space="preserve"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</w:t>
      </w:r>
      <w:r>
        <w:rPr>
          <w:sz w:val="28"/>
          <w:szCs w:val="28"/>
          <w:lang w:bidi="ru-RU"/>
        </w:rPr>
        <w:t>«</w:t>
      </w:r>
      <w:r w:rsidRPr="00926EB4">
        <w:rPr>
          <w:sz w:val="28"/>
          <w:szCs w:val="28"/>
          <w:lang w:bidi="ru-RU"/>
        </w:rPr>
        <w:t>шаг аукциона</w:t>
      </w:r>
      <w:r>
        <w:rPr>
          <w:sz w:val="28"/>
          <w:szCs w:val="28"/>
          <w:lang w:bidi="ru-RU"/>
        </w:rPr>
        <w:t>»</w:t>
      </w:r>
      <w:r w:rsidRPr="00926EB4">
        <w:rPr>
          <w:sz w:val="28"/>
          <w:szCs w:val="28"/>
          <w:lang w:bidi="ru-RU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 (цены лота).</w:t>
      </w:r>
      <w:proofErr w:type="gramEnd"/>
    </w:p>
    <w:p w:rsidR="00495C3A" w:rsidRPr="00926EB4" w:rsidRDefault="00495C3A" w:rsidP="00495C3A">
      <w:pPr>
        <w:ind w:right="20" w:firstLine="567"/>
        <w:jc w:val="both"/>
        <w:rPr>
          <w:sz w:val="28"/>
          <w:szCs w:val="28"/>
        </w:rPr>
      </w:pPr>
      <w:r w:rsidRPr="00926EB4">
        <w:rPr>
          <w:sz w:val="28"/>
          <w:szCs w:val="28"/>
          <w:lang w:bidi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495C3A" w:rsidRDefault="00495C3A" w:rsidP="00495C3A">
      <w:pPr>
        <w:ind w:firstLine="709"/>
        <w:contextualSpacing/>
        <w:jc w:val="center"/>
        <w:rPr>
          <w:rStyle w:val="a3"/>
          <w:i w:val="0"/>
          <w:sz w:val="28"/>
          <w:szCs w:val="28"/>
        </w:rPr>
      </w:pPr>
    </w:p>
    <w:p w:rsidR="00495C3A" w:rsidRDefault="00495C3A" w:rsidP="00495C3A">
      <w:pPr>
        <w:ind w:firstLine="709"/>
        <w:contextualSpacing/>
        <w:jc w:val="center"/>
        <w:rPr>
          <w:rStyle w:val="a3"/>
          <w:i w:val="0"/>
          <w:sz w:val="28"/>
          <w:szCs w:val="28"/>
        </w:rPr>
      </w:pPr>
    </w:p>
    <w:p w:rsidR="00C03BE0" w:rsidRDefault="00C03BE0"/>
    <w:sectPr w:rsidR="00C03BE0" w:rsidSect="00C0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95C3A"/>
    <w:rsid w:val="00495C3A"/>
    <w:rsid w:val="00C0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5C3A"/>
    <w:rPr>
      <w:i/>
      <w:iCs/>
    </w:rPr>
  </w:style>
  <w:style w:type="character" w:styleId="a4">
    <w:name w:val="Hyperlink"/>
    <w:basedOn w:val="a0"/>
    <w:rsid w:val="00495C3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Company>DG Win&amp;Soft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2022-11-14T10:24:00Z</dcterms:created>
  <dcterms:modified xsi:type="dcterms:W3CDTF">2022-11-14T10:24:00Z</dcterms:modified>
</cp:coreProperties>
</file>